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r>
        <w:rPr>
          <w:rFonts w:hint="eastAsia" w:ascii="黑体" w:hAnsi="黑体" w:eastAsia="黑体" w:cs="黑体"/>
          <w:sz w:val="28"/>
          <w:szCs w:val="28"/>
        </w:rPr>
        <w:t>推荐性国家标准 《绿色</w:t>
      </w:r>
      <w:r>
        <w:rPr>
          <w:rFonts w:hint="eastAsia" w:ascii="黑体" w:hAnsi="黑体" w:eastAsia="黑体" w:cs="黑体"/>
          <w:sz w:val="28"/>
          <w:szCs w:val="28"/>
          <w:lang w:eastAsia="zh-CN"/>
        </w:rPr>
        <w:t>商场</w:t>
      </w:r>
      <w:r>
        <w:rPr>
          <w:rFonts w:hint="eastAsia" w:ascii="黑体" w:hAnsi="黑体" w:eastAsia="黑体" w:cs="黑体"/>
          <w:sz w:val="28"/>
          <w:szCs w:val="28"/>
        </w:rPr>
        <w:t>》（征求意见稿）编制说明</w:t>
      </w:r>
    </w:p>
    <w:p>
      <w:pPr>
        <w:jc w:val="center"/>
        <w:rPr>
          <w:rFonts w:ascii="宋体" w:hAnsi="宋体" w:eastAsia="宋体" w:cs="宋体"/>
          <w:sz w:val="28"/>
          <w:szCs w:val="28"/>
        </w:rPr>
      </w:pPr>
    </w:p>
    <w:p>
      <w:pPr>
        <w:numPr>
          <w:ilvl w:val="0"/>
          <w:numId w:val="1"/>
        </w:numPr>
        <w:rPr>
          <w:rFonts w:hint="eastAsia" w:ascii="黑体" w:hAnsi="黑体" w:eastAsia="黑体" w:cs="黑体"/>
          <w:sz w:val="28"/>
          <w:szCs w:val="28"/>
        </w:rPr>
      </w:pPr>
      <w:r>
        <w:rPr>
          <w:rFonts w:hint="eastAsia" w:ascii="黑体" w:hAnsi="黑体" w:eastAsia="黑体" w:cs="黑体"/>
          <w:sz w:val="28"/>
          <w:szCs w:val="28"/>
        </w:rPr>
        <w:t>工作</w:t>
      </w:r>
      <w:r>
        <w:rPr>
          <w:rFonts w:hint="eastAsia" w:ascii="黑体" w:hAnsi="黑体" w:eastAsia="黑体" w:cs="黑体"/>
          <w:sz w:val="28"/>
          <w:szCs w:val="28"/>
          <w:lang w:val="en-US" w:eastAsia="zh-CN"/>
        </w:rPr>
        <w:t>概</w:t>
      </w:r>
      <w:r>
        <w:rPr>
          <w:rFonts w:hint="eastAsia" w:ascii="黑体" w:hAnsi="黑体" w:eastAsia="黑体" w:cs="黑体"/>
          <w:sz w:val="28"/>
          <w:szCs w:val="28"/>
        </w:rPr>
        <w:t xml:space="preserve">况 </w:t>
      </w:r>
    </w:p>
    <w:p>
      <w:pPr>
        <w:numPr>
          <w:ilvl w:val="0"/>
          <w:numId w:val="2"/>
        </w:numPr>
        <w:rPr>
          <w:rFonts w:hint="eastAsia" w:ascii="黑体" w:hAnsi="黑体" w:eastAsia="黑体" w:cs="黑体"/>
          <w:sz w:val="28"/>
          <w:szCs w:val="28"/>
        </w:rPr>
      </w:pPr>
      <w:r>
        <w:rPr>
          <w:rFonts w:hint="eastAsia" w:ascii="黑体" w:hAnsi="黑体" w:eastAsia="黑体" w:cs="黑体"/>
          <w:sz w:val="28"/>
          <w:szCs w:val="28"/>
        </w:rPr>
        <w:t xml:space="preserve">任务来源 </w:t>
      </w:r>
    </w:p>
    <w:p>
      <w:pPr>
        <w:pStyle w:val="6"/>
        <w:rPr>
          <w:rFonts w:hint="eastAsia" w:ascii="仿宋" w:hAnsi="仿宋" w:eastAsia="仿宋" w:cs="仿宋"/>
          <w:sz w:val="28"/>
          <w:szCs w:val="28"/>
        </w:rPr>
      </w:pPr>
      <w:r>
        <w:rPr>
          <w:rFonts w:hint="eastAsia" w:ascii="仿宋" w:hAnsi="仿宋" w:eastAsia="仿宋" w:cs="仿宋"/>
          <w:sz w:val="28"/>
          <w:szCs w:val="28"/>
        </w:rPr>
        <w:t>随着我国经济的快速增长和人民物质生活水平的不断提高，商品生产、消费和再循环的总量不断增大，对我国环境的承载能力形成一个巨大挑战。流通是商品生产、消费和循环再生必不可少的环节。因此，做好流通领域的节能环保工作意义重大。</w:t>
      </w:r>
    </w:p>
    <w:p>
      <w:pPr>
        <w:pStyle w:val="6"/>
        <w:rPr>
          <w:rFonts w:hint="eastAsia" w:ascii="仿宋" w:hAnsi="仿宋" w:eastAsia="仿宋" w:cs="仿宋"/>
          <w:sz w:val="28"/>
          <w:szCs w:val="28"/>
        </w:rPr>
      </w:pPr>
      <w:r>
        <w:rPr>
          <w:rFonts w:hint="eastAsia" w:ascii="仿宋" w:hAnsi="仿宋" w:eastAsia="仿宋" w:cs="仿宋"/>
          <w:sz w:val="28"/>
          <w:szCs w:val="28"/>
        </w:rPr>
        <w:t>近年来，流通领域经营业态呈“一大一小”两个趋势发展。重视体验式消费的大型商场越来越多，而大型商场的能耗很高，单位建筑面积耗能是普通住宅的15-20倍；与移动互联技术密切结合，重视便利消费的社区门店也越来越多，这些门店普遍具有租赁物业占比高、地域性差异大、能耗点多、节能技术涉及面广、节能实效认定难度大等特点。因此，探索建立一套符合流通领域节能减排特点的统计评价指标体系成为当务之急。</w:t>
      </w:r>
    </w:p>
    <w:p>
      <w:pPr>
        <w:pStyle w:val="6"/>
        <w:rPr>
          <w:rFonts w:hint="eastAsia" w:ascii="仿宋" w:hAnsi="仿宋" w:eastAsia="仿宋" w:cs="仿宋"/>
          <w:sz w:val="28"/>
          <w:szCs w:val="28"/>
        </w:rPr>
      </w:pPr>
      <w:r>
        <w:rPr>
          <w:rFonts w:hint="eastAsia" w:ascii="仿宋" w:hAnsi="仿宋" w:eastAsia="仿宋" w:cs="仿宋"/>
          <w:sz w:val="28"/>
          <w:szCs w:val="28"/>
        </w:rPr>
        <w:t>绿色流通是指企业在商品流通过程中关注环境保护、节约资源，努力实现经济效益和社会效益的协调统一的行为。绿色流通企业是推动绿色流通，倡导绿色消费的行为载体。因此，将绿色流通企业开展节能减排的技术要求科学统一起来，并展开评价工作，推动绿色商场的建设，对国家节能减排工作和人民群众生活水平提高都具有重要意义。</w:t>
      </w:r>
    </w:p>
    <w:p>
      <w:pPr>
        <w:pStyle w:val="6"/>
        <w:rPr>
          <w:rFonts w:hint="eastAsia" w:ascii="仿宋" w:hAnsi="仿宋" w:eastAsia="仿宋" w:cs="仿宋"/>
          <w:sz w:val="28"/>
          <w:szCs w:val="28"/>
        </w:rPr>
      </w:pPr>
      <w:r>
        <w:rPr>
          <w:rFonts w:hint="eastAsia" w:ascii="仿宋" w:hAnsi="仿宋" w:eastAsia="仿宋" w:cs="仿宋"/>
          <w:sz w:val="28"/>
          <w:szCs w:val="28"/>
        </w:rPr>
        <w:t>本标准的发布可以推进流通行业转型发展，为流通企业绿色经营能力的自评及新店建设提供参考，为行业树立绿色标杆，引导绿色消费，促进行业可持续发展。</w:t>
      </w:r>
    </w:p>
    <w:p>
      <w:pPr>
        <w:numPr>
          <w:ilvl w:val="0"/>
          <w:numId w:val="0"/>
        </w:numPr>
        <w:ind w:firstLine="480" w:firstLineChars="200"/>
        <w:rPr>
          <w:rFonts w:ascii="宋体" w:hAnsi="宋体" w:eastAsia="宋体" w:cs="宋体"/>
          <w:sz w:val="24"/>
          <w:szCs w:val="24"/>
        </w:rPr>
      </w:pPr>
    </w:p>
    <w:p>
      <w:pPr>
        <w:numPr>
          <w:ilvl w:val="0"/>
          <w:numId w:val="2"/>
        </w:numPr>
        <w:rPr>
          <w:rFonts w:hint="eastAsia" w:ascii="黑体" w:hAnsi="黑体" w:eastAsia="黑体" w:cs="黑体"/>
          <w:sz w:val="28"/>
          <w:szCs w:val="28"/>
        </w:rPr>
      </w:pPr>
      <w:r>
        <w:rPr>
          <w:rFonts w:hint="eastAsia" w:ascii="黑体" w:hAnsi="黑体" w:eastAsia="黑体" w:cs="黑体"/>
          <w:sz w:val="28"/>
          <w:szCs w:val="28"/>
        </w:rPr>
        <w:t xml:space="preserve">协作单位 </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本标准由</w:t>
      </w:r>
      <w:r>
        <w:rPr>
          <w:rFonts w:hint="eastAsia" w:ascii="仿宋" w:hAnsi="仿宋" w:eastAsia="仿宋" w:cs="仿宋"/>
          <w:sz w:val="28"/>
          <w:szCs w:val="28"/>
          <w:lang w:val="en-US" w:eastAsia="zh-CN"/>
        </w:rPr>
        <w:t>中国商业联合会</w:t>
      </w:r>
      <w:r>
        <w:rPr>
          <w:rFonts w:hint="eastAsia" w:ascii="仿宋" w:hAnsi="仿宋" w:eastAsia="仿宋" w:cs="仿宋"/>
          <w:sz w:val="28"/>
          <w:szCs w:val="28"/>
        </w:rPr>
        <w:t>，</w:t>
      </w:r>
      <w:r>
        <w:rPr>
          <w:rFonts w:hint="eastAsia" w:ascii="仿宋" w:hAnsi="仿宋" w:eastAsia="仿宋" w:cs="仿宋"/>
          <w:sz w:val="28"/>
          <w:szCs w:val="28"/>
          <w:lang w:val="en-US" w:eastAsia="zh-CN"/>
        </w:rPr>
        <w:t>高等院校，购物中心</w:t>
      </w:r>
      <w:r>
        <w:rPr>
          <w:rFonts w:hint="eastAsia" w:ascii="仿宋" w:hAnsi="仿宋" w:eastAsia="仿宋" w:cs="仿宋"/>
          <w:sz w:val="28"/>
          <w:szCs w:val="28"/>
        </w:rPr>
        <w:t>、</w:t>
      </w:r>
      <w:r>
        <w:rPr>
          <w:rFonts w:hint="eastAsia" w:ascii="仿宋" w:hAnsi="仿宋" w:eastAsia="仿宋" w:cs="仿宋"/>
          <w:sz w:val="28"/>
          <w:szCs w:val="28"/>
          <w:lang w:val="en-US" w:eastAsia="zh-CN"/>
        </w:rPr>
        <w:t>百货</w:t>
      </w:r>
      <w:r>
        <w:rPr>
          <w:rFonts w:hint="eastAsia" w:ascii="仿宋" w:hAnsi="仿宋" w:eastAsia="仿宋" w:cs="仿宋"/>
          <w:sz w:val="28"/>
          <w:szCs w:val="28"/>
        </w:rPr>
        <w:t>、</w:t>
      </w:r>
      <w:r>
        <w:rPr>
          <w:rFonts w:hint="eastAsia" w:ascii="仿宋" w:hAnsi="仿宋" w:eastAsia="仿宋" w:cs="仿宋"/>
          <w:sz w:val="28"/>
          <w:szCs w:val="28"/>
          <w:lang w:val="en-US" w:eastAsia="zh-CN"/>
        </w:rPr>
        <w:t>家具建材城</w:t>
      </w:r>
      <w:r>
        <w:rPr>
          <w:rFonts w:hint="eastAsia" w:ascii="仿宋" w:hAnsi="仿宋" w:eastAsia="仿宋" w:cs="仿宋"/>
          <w:sz w:val="28"/>
          <w:szCs w:val="28"/>
        </w:rPr>
        <w:t>、</w:t>
      </w:r>
      <w:r>
        <w:rPr>
          <w:rFonts w:hint="eastAsia" w:ascii="仿宋" w:hAnsi="仿宋" w:eastAsia="仿宋" w:cs="仿宋"/>
          <w:sz w:val="28"/>
          <w:szCs w:val="28"/>
          <w:lang w:val="en-US" w:eastAsia="zh-CN"/>
        </w:rPr>
        <w:t>超市</w:t>
      </w:r>
      <w:r>
        <w:rPr>
          <w:rFonts w:hint="eastAsia" w:ascii="仿宋" w:hAnsi="仿宋" w:eastAsia="仿宋" w:cs="仿宋"/>
          <w:sz w:val="28"/>
          <w:szCs w:val="28"/>
        </w:rPr>
        <w:t>、</w:t>
      </w:r>
      <w:r>
        <w:rPr>
          <w:rFonts w:hint="eastAsia" w:ascii="仿宋" w:hAnsi="仿宋" w:eastAsia="仿宋" w:cs="仿宋"/>
          <w:sz w:val="28"/>
          <w:szCs w:val="28"/>
          <w:lang w:val="en-US" w:eastAsia="zh-CN"/>
        </w:rPr>
        <w:t>便利店</w:t>
      </w:r>
      <w:r>
        <w:rPr>
          <w:rFonts w:hint="eastAsia" w:ascii="仿宋" w:hAnsi="仿宋" w:eastAsia="仿宋" w:cs="仿宋"/>
          <w:sz w:val="28"/>
          <w:szCs w:val="28"/>
        </w:rPr>
        <w:t>、</w:t>
      </w:r>
      <w:r>
        <w:rPr>
          <w:rFonts w:hint="eastAsia" w:ascii="仿宋" w:hAnsi="仿宋" w:eastAsia="仿宋" w:cs="仿宋"/>
          <w:sz w:val="28"/>
          <w:szCs w:val="28"/>
          <w:lang w:val="en-US" w:eastAsia="zh-CN"/>
        </w:rPr>
        <w:t>专业店</w:t>
      </w:r>
      <w:r>
        <w:rPr>
          <w:rFonts w:hint="eastAsia" w:ascii="仿宋" w:hAnsi="仿宋" w:eastAsia="仿宋" w:cs="仿宋"/>
          <w:sz w:val="28"/>
          <w:szCs w:val="28"/>
        </w:rPr>
        <w:t>等重点</w:t>
      </w:r>
      <w:r>
        <w:rPr>
          <w:rFonts w:hint="eastAsia" w:ascii="仿宋" w:hAnsi="仿宋" w:eastAsia="仿宋" w:cs="仿宋"/>
          <w:sz w:val="28"/>
          <w:szCs w:val="28"/>
          <w:lang w:val="en-US" w:eastAsia="zh-CN"/>
        </w:rPr>
        <w:t>业态零售</w:t>
      </w:r>
      <w:r>
        <w:rPr>
          <w:rFonts w:hint="eastAsia" w:ascii="仿宋" w:hAnsi="仿宋" w:eastAsia="仿宋" w:cs="仿宋"/>
          <w:sz w:val="28"/>
          <w:szCs w:val="28"/>
        </w:rPr>
        <w:t>企业</w:t>
      </w:r>
      <w:r>
        <w:rPr>
          <w:rFonts w:hint="eastAsia" w:ascii="仿宋" w:hAnsi="仿宋" w:eastAsia="仿宋" w:cs="仿宋"/>
          <w:sz w:val="28"/>
          <w:szCs w:val="28"/>
          <w:lang w:val="en-US" w:eastAsia="zh-CN"/>
        </w:rPr>
        <w:t>以及能源管理专业技术机构</w:t>
      </w:r>
      <w:r>
        <w:rPr>
          <w:rFonts w:hint="eastAsia" w:ascii="仿宋" w:hAnsi="仿宋" w:eastAsia="仿宋" w:cs="仿宋"/>
          <w:sz w:val="28"/>
          <w:szCs w:val="28"/>
        </w:rPr>
        <w:t xml:space="preserve">负责起草。 </w:t>
      </w:r>
    </w:p>
    <w:p>
      <w:pPr>
        <w:numPr>
          <w:ilvl w:val="0"/>
          <w:numId w:val="2"/>
        </w:numPr>
        <w:rPr>
          <w:rFonts w:hint="eastAsia" w:ascii="黑体" w:hAnsi="黑体" w:eastAsia="黑体" w:cs="黑体"/>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28"/>
          <w:szCs w:val="28"/>
        </w:rPr>
        <w:t xml:space="preserve">主要工作过程 </w:t>
      </w:r>
    </w:p>
    <w:p>
      <w:pPr>
        <w:numPr>
          <w:ilvl w:val="0"/>
          <w:numId w:val="2"/>
        </w:numPr>
        <w:rPr>
          <w:rFonts w:hint="eastAsia" w:ascii="黑体" w:hAnsi="黑体" w:eastAsia="黑体" w:cs="黑体"/>
          <w:sz w:val="28"/>
          <w:szCs w:val="28"/>
        </w:rPr>
        <w:sectPr>
          <w:pgSz w:w="11906" w:h="16838"/>
          <w:pgMar w:top="1440" w:right="1800" w:bottom="1440" w:left="1800" w:header="851" w:footer="992" w:gutter="0"/>
          <w:cols w:space="425" w:num="1"/>
          <w:docGrid w:type="lines" w:linePitch="312" w:charSpace="0"/>
        </w:sectPr>
      </w:pPr>
    </w:p>
    <w:p>
      <w:pPr>
        <w:numPr>
          <w:ilvl w:val="0"/>
          <w:numId w:val="2"/>
        </w:numPr>
        <w:rPr>
          <w:rFonts w:hint="eastAsia" w:ascii="黑体" w:hAnsi="黑体" w:eastAsia="黑体" w:cs="黑体"/>
          <w:sz w:val="28"/>
          <w:szCs w:val="28"/>
        </w:rPr>
      </w:pPr>
    </w:p>
    <w:p>
      <w:pPr>
        <w:numPr>
          <w:ilvl w:val="0"/>
          <w:numId w:val="0"/>
        </w:numPr>
        <w:ind w:leftChars="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早在 2014年，标准起草单位中国商业联合会即受商务部流通业发展司委托开展绿色商场评价研究，对国内外绿色商场相关政策、标准开展调研，开发绿色商场评价方案，逐步形成行业标准《绿色商场》（SB/T11135-2015）及其相关实施细则。2016-2017年，在商务部统一部署下，绿色商场创建在购物中心和超市业态开展试点示范，并将成果应用于商务部绿色循环消费相关政策的制定。 </w:t>
      </w:r>
    </w:p>
    <w:p>
      <w:pPr>
        <w:numPr>
          <w:ilvl w:val="0"/>
          <w:numId w:val="0"/>
        </w:numPr>
        <w:ind w:leftChars="0" w:firstLine="560" w:firstLineChars="200"/>
        <w:rPr>
          <w:rFonts w:ascii="宋体" w:hAnsi="宋体" w:eastAsia="宋体" w:cs="宋体"/>
          <w:sz w:val="28"/>
          <w:szCs w:val="28"/>
        </w:rPr>
      </w:pPr>
      <w:r>
        <w:rPr>
          <w:rFonts w:hint="eastAsia" w:ascii="仿宋" w:hAnsi="仿宋" w:eastAsia="仿宋" w:cs="仿宋"/>
          <w:kern w:val="0"/>
          <w:sz w:val="28"/>
          <w:szCs w:val="28"/>
          <w:lang w:val="en-US" w:eastAsia="zh-CN" w:bidi="ar-SA"/>
        </w:rPr>
        <w:t xml:space="preserve">2017年9月起，根据商务部流通业发展司工作安排，中国商业联合会牵头筹备《绿色商场》国家标准起草组，并派代表参加国家标准委统一组织立项答辩会。2017年12月，国家标准化管理委员会下达《绿色商场》的国家标准编制计划，计划编号为 20174010-T-322。2018年2月1日，起草组在京召开第一次《绿色商场》国家标准专题讨论会，形成了《绿色商场》工作组稿；4月18日，起草组在济南召开第二次专题会议，并通过全国绿色商场创建评审员培训班、商务部绿色宣传循环消费培训班等活动，对《绿色商场（起草工作组稿）》向学员进行征求意见，形成《绿色商场》草稿。7月27日，中国商业联合会通过邮件、微信群等电子渠道征集了商务部流通业发展司和有关专家的书面意见。起草组根据专家意见修改完善标准草稿，形成标准征求意见稿。 </w:t>
      </w:r>
    </w:p>
    <w:p>
      <w:pPr>
        <w:numPr>
          <w:ilvl w:val="0"/>
          <w:numId w:val="2"/>
        </w:numPr>
        <w:rPr>
          <w:rFonts w:hint="eastAsia" w:ascii="黑体" w:hAnsi="黑体" w:eastAsia="黑体" w:cs="黑体"/>
          <w:sz w:val="28"/>
          <w:szCs w:val="28"/>
        </w:rPr>
      </w:pPr>
      <w:r>
        <w:rPr>
          <w:rFonts w:hint="eastAsia" w:ascii="黑体" w:hAnsi="黑体" w:eastAsia="黑体" w:cs="黑体"/>
          <w:sz w:val="28"/>
          <w:szCs w:val="28"/>
        </w:rPr>
        <w:t xml:space="preserve">标准主要起草人及其所做的工作 </w:t>
      </w:r>
    </w:p>
    <w:p>
      <w:pPr>
        <w:numPr>
          <w:ilvl w:val="0"/>
          <w:numId w:val="0"/>
        </w:numPr>
        <w:ind w:leftChars="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本标准主要起草人为郑文、张丽君、尹虹、荣朝霞、王京红、韩秀伟、李岩、王志彬、孙多斌、谢杰、安硕、路遥冬、李春生、</w:t>
      </w:r>
      <w:r>
        <w:rPr>
          <w:rFonts w:hint="eastAsia" w:ascii="仿宋" w:hAnsi="仿宋" w:eastAsia="仿宋" w:cs="仿宋"/>
          <w:sz w:val="30"/>
          <w:szCs w:val="30"/>
          <w:lang w:val="en-US" w:eastAsia="zh-CN"/>
        </w:rPr>
        <w:t>王珏、</w:t>
      </w:r>
      <w:r>
        <w:rPr>
          <w:rFonts w:hint="eastAsia" w:ascii="仿宋" w:hAnsi="仿宋" w:eastAsia="仿宋" w:cs="仿宋"/>
          <w:kern w:val="0"/>
          <w:sz w:val="28"/>
          <w:szCs w:val="28"/>
          <w:lang w:val="en-US" w:eastAsia="zh-CN" w:bidi="ar-SA"/>
        </w:rPr>
        <w:t>刘长春、王朝清、王强、胡泽、陈建萍、叶伟、黄新宇、林坚、姚歆、叶楠、步敬禄等。</w:t>
      </w:r>
    </w:p>
    <w:p>
      <w:pPr>
        <w:numPr>
          <w:ilvl w:val="0"/>
          <w:numId w:val="0"/>
        </w:numPr>
        <w:ind w:leftChars="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其中，郑文、张丽君、尹虹、荣朝霞、王京红主要负责标准整体结构的起草，李岩、安硕、李春生、陈建萍、路遥冬、王珏</w:t>
      </w:r>
      <w:bookmarkStart w:id="0" w:name="_GoBack"/>
      <w:bookmarkEnd w:id="0"/>
      <w:r>
        <w:rPr>
          <w:rFonts w:hint="eastAsia" w:ascii="仿宋" w:hAnsi="仿宋" w:eastAsia="仿宋" w:cs="仿宋"/>
          <w:kern w:val="0"/>
          <w:sz w:val="28"/>
          <w:szCs w:val="28"/>
          <w:lang w:val="en-US" w:eastAsia="zh-CN" w:bidi="ar-SA"/>
        </w:rPr>
        <w:t>主要负责通用技术要求的起草，孙多斌、谢杰、王朝清主要负责购物中心和百货店的起草和验证工作，黄新宇主要负责家居建材城的起草和验证工作，刘长春、胡泽主要负责专业店的起草和验证工作，叶伟、林坚、王强、叶楠主要负责超市的起草和验证工作，其他起草人负责标准各章节的修改完善以及便利店、生鲜超市等业态验证工作。</w:t>
      </w:r>
    </w:p>
    <w:p>
      <w:pPr>
        <w:numPr>
          <w:ilvl w:val="0"/>
          <w:numId w:val="0"/>
        </w:numPr>
        <w:ind w:leftChars="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韩秀伟根据起草人意见负责执笔完稿。</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标准编制原则和确定标准主要内容</w:t>
      </w:r>
    </w:p>
    <w:p>
      <w:pPr>
        <w:numPr>
          <w:ilvl w:val="0"/>
          <w:numId w:val="3"/>
        </w:numPr>
        <w:ind w:left="120" w:leftChars="0" w:firstLine="0" w:firstLineChars="0"/>
        <w:rPr>
          <w:rFonts w:hint="eastAsia" w:ascii="黑体" w:hAnsi="黑体" w:eastAsia="黑体" w:cs="黑体"/>
          <w:sz w:val="28"/>
          <w:szCs w:val="28"/>
        </w:rPr>
      </w:pPr>
      <w:r>
        <w:rPr>
          <w:rFonts w:hint="eastAsia" w:ascii="黑体" w:hAnsi="黑体" w:eastAsia="黑体" w:cs="黑体"/>
          <w:sz w:val="28"/>
          <w:szCs w:val="28"/>
        </w:rPr>
        <w:t xml:space="preserve">编制原则 </w:t>
      </w:r>
    </w:p>
    <w:p>
      <w:pPr>
        <w:numPr>
          <w:ilvl w:val="0"/>
          <w:numId w:val="4"/>
        </w:numPr>
        <w:ind w:left="120" w:left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协调一致 </w:t>
      </w:r>
    </w:p>
    <w:p>
      <w:pPr>
        <w:numPr>
          <w:ilvl w:val="0"/>
          <w:numId w:val="0"/>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标准尽可能与以下内容协调一致： </w:t>
      </w:r>
    </w:p>
    <w:p>
      <w:pPr>
        <w:numPr>
          <w:ilvl w:val="0"/>
          <w:numId w:val="0"/>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A绿色商场基本要求；  </w:t>
      </w:r>
    </w:p>
    <w:p>
      <w:pPr>
        <w:numPr>
          <w:ilvl w:val="0"/>
          <w:numId w:val="0"/>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B相关政策、法规、标准、管理办法； </w:t>
      </w:r>
    </w:p>
    <w:p>
      <w:pPr>
        <w:numPr>
          <w:ilvl w:val="0"/>
          <w:numId w:val="0"/>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C商务部绿色商场创建工作的整体目标；  </w:t>
      </w:r>
    </w:p>
    <w:p>
      <w:pPr>
        <w:numPr>
          <w:ilvl w:val="0"/>
          <w:numId w:val="0"/>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D绿色商场标准体系。 </w:t>
      </w:r>
    </w:p>
    <w:p>
      <w:pPr>
        <w:numPr>
          <w:ilvl w:val="0"/>
          <w:numId w:val="4"/>
        </w:numPr>
        <w:ind w:left="120" w:leftChars="0" w:firstLine="0" w:firstLine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全面系统  </w:t>
      </w:r>
    </w:p>
    <w:p>
      <w:pPr>
        <w:numPr>
          <w:ilvl w:val="0"/>
          <w:numId w:val="0"/>
        </w:numPr>
        <w:ind w:left="12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A涵盖商场运营的全过程、全链条和全要素；  </w:t>
      </w:r>
    </w:p>
    <w:p>
      <w:pPr>
        <w:numPr>
          <w:ilvl w:val="0"/>
          <w:numId w:val="0"/>
        </w:numPr>
        <w:ind w:left="12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B全面、系统建立绿色商场评价体系。 </w:t>
      </w:r>
    </w:p>
    <w:p>
      <w:pPr>
        <w:numPr>
          <w:ilvl w:val="0"/>
          <w:numId w:val="4"/>
        </w:numPr>
        <w:ind w:left="120" w:leftChars="0" w:firstLine="0" w:firstLine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适用可操作  </w:t>
      </w:r>
    </w:p>
    <w:p>
      <w:pPr>
        <w:numPr>
          <w:ilvl w:val="0"/>
          <w:numId w:val="0"/>
        </w:numPr>
        <w:ind w:left="12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A在企业现有管理体系基础上增加绿色商场管理要求；  </w:t>
      </w:r>
    </w:p>
    <w:p>
      <w:pPr>
        <w:numPr>
          <w:ilvl w:val="0"/>
          <w:numId w:val="0"/>
        </w:numPr>
        <w:ind w:left="12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B遵循管理的“PDCA”模式，降低标准实施的难度； </w:t>
      </w:r>
    </w:p>
    <w:p>
      <w:pPr>
        <w:numPr>
          <w:ilvl w:val="0"/>
          <w:numId w:val="0"/>
        </w:numPr>
        <w:ind w:left="12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C立足国内企业绿色商场创建实际，确保标准的可操作性。</w:t>
      </w:r>
    </w:p>
    <w:p>
      <w:pPr>
        <w:numPr>
          <w:ilvl w:val="0"/>
          <w:numId w:val="3"/>
        </w:numPr>
        <w:ind w:left="120" w:leftChars="0" w:firstLine="0" w:firstLineChars="0"/>
        <w:rPr>
          <w:rFonts w:hint="eastAsia" w:ascii="黑体" w:hAnsi="黑体" w:eastAsia="黑体" w:cs="黑体"/>
          <w:sz w:val="28"/>
          <w:szCs w:val="28"/>
        </w:rPr>
      </w:pPr>
      <w:r>
        <w:rPr>
          <w:rFonts w:hint="eastAsia" w:ascii="黑体" w:hAnsi="黑体" w:eastAsia="黑体" w:cs="黑体"/>
          <w:sz w:val="28"/>
          <w:szCs w:val="28"/>
        </w:rPr>
        <w:t xml:space="preserve">标准主要内容 </w:t>
      </w:r>
    </w:p>
    <w:p>
      <w:pPr>
        <w:numPr>
          <w:ilvl w:val="0"/>
          <w:numId w:val="0"/>
        </w:numPr>
        <w:ind w:firstLine="840" w:firstLineChars="300"/>
        <w:rPr>
          <w:rFonts w:ascii="宋体" w:hAnsi="宋体" w:eastAsia="宋体" w:cs="宋体"/>
          <w:sz w:val="28"/>
          <w:szCs w:val="28"/>
        </w:rPr>
      </w:pPr>
      <w:r>
        <w:rPr>
          <w:rFonts w:ascii="宋体" w:hAnsi="宋体" w:eastAsia="宋体" w:cs="宋体"/>
          <w:sz w:val="28"/>
          <w:szCs w:val="28"/>
        </w:rPr>
        <w:t xml:space="preserve">本标准设置 </w:t>
      </w:r>
      <w:r>
        <w:rPr>
          <w:rFonts w:hint="eastAsia" w:ascii="宋体" w:hAnsi="宋体" w:eastAsia="宋体" w:cs="宋体"/>
          <w:sz w:val="28"/>
          <w:szCs w:val="28"/>
          <w:lang w:val="en-US" w:eastAsia="zh-CN"/>
        </w:rPr>
        <w:t>9</w:t>
      </w:r>
      <w:r>
        <w:rPr>
          <w:rFonts w:ascii="宋体" w:hAnsi="宋体" w:eastAsia="宋体" w:cs="宋体"/>
          <w:sz w:val="28"/>
          <w:szCs w:val="28"/>
        </w:rPr>
        <w:t>个章节，具体包括：</w:t>
      </w:r>
    </w:p>
    <w:p>
      <w:pPr>
        <w:numPr>
          <w:ilvl w:val="0"/>
          <w:numId w:val="5"/>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范围 </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明确标准的适用范围。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规范性引用文件 </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详细列出本标准使用时所涉及的规范性文件。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术语和定义 </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对绿色商场、绿色采购等术语和定义做出规范。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基础管理 </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对绿色商场的合法性、合规性作出基本认定，对绿色商场管理制度建设、能源管理信息化水平和效果作出要求和评价。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设备设施 </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对建筑结构、供配电、给排水、照明、暖通空调、电梯、冷藏冷冻等做出规范。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绿色供应链建设</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对绿色采购、物流、仓储和包装等提出要求。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绿色服务</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对绿色商场的服务设备、行为和效率等内容提出要求。</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绿色消费</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对绿色商场进行绿色消费宣传、设置醒目标识标志和绿色环保产品消费专柜等内容做出要求。 </w:t>
      </w:r>
    </w:p>
    <w:p>
      <w:pPr>
        <w:numPr>
          <w:ilvl w:val="0"/>
          <w:numId w:val="5"/>
        </w:numPr>
        <w:ind w:left="0"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资源循环利用与环境保护</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对商场运营产生的大气污染物、水体污染物、固体污染物、噪声、温室气体等提出要求。 </w:t>
      </w:r>
    </w:p>
    <w:p>
      <w:pPr>
        <w:numPr>
          <w:ilvl w:val="0"/>
          <w:numId w:val="0"/>
        </w:numPr>
        <w:ind w:left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w:t>
      </w:r>
      <w:r>
        <w:rPr>
          <w:rFonts w:hint="eastAsia" w:ascii="宋体" w:hAnsi="宋体" w:eastAsia="宋体" w:cs="宋体"/>
          <w:sz w:val="28"/>
          <w:szCs w:val="28"/>
          <w:lang w:val="en-US" w:eastAsia="zh-CN"/>
        </w:rPr>
        <w:t>本标准设置3个规范性附录，具体包括：</w:t>
      </w:r>
    </w:p>
    <w:p>
      <w:pPr>
        <w:numPr>
          <w:ilvl w:val="0"/>
          <w:numId w:val="0"/>
        </w:numPr>
        <w:ind w:left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（Ａ）等级划分和评定</w:t>
      </w:r>
    </w:p>
    <w:p>
      <w:pPr>
        <w:numPr>
          <w:ilvl w:val="0"/>
          <w:numId w:val="0"/>
        </w:numPr>
        <w:ind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对绿色商场的等级划分、标识标志和评定方式进行了规范。</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（Ｂ）不同业态类型绿色商场的定义、分类及说明</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对绿色购物中心、绿色百货店等各业态的定义和分类作了详细说明；</w:t>
      </w:r>
    </w:p>
    <w:p>
      <w:pPr>
        <w:numPr>
          <w:ilvl w:val="0"/>
          <w:numId w:val="0"/>
        </w:numPr>
        <w:ind w:leftChars="0"/>
        <w:rPr>
          <w:rFonts w:hint="eastAsia" w:ascii="黑体" w:hAnsi="黑体" w:eastAsia="黑体" w:cs="黑体"/>
          <w:sz w:val="24"/>
        </w:rPr>
      </w:pPr>
      <w:r>
        <w:rPr>
          <w:rFonts w:hint="eastAsia" w:ascii="仿宋" w:hAnsi="仿宋" w:eastAsia="仿宋" w:cs="仿宋"/>
          <w:kern w:val="0"/>
          <w:sz w:val="28"/>
          <w:szCs w:val="28"/>
          <w:lang w:val="en-US" w:eastAsia="zh-CN" w:bidi="ar-SA"/>
        </w:rPr>
        <w:t>　　 （C）绿色商场等级评价要求和方法</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根据建筑面积、设备运维管理的独立性对不同业态的商场评价要求和方法进一步细分，力争可操作性。</w:t>
      </w:r>
    </w:p>
    <w:p>
      <w:pPr>
        <w:numPr>
          <w:ilvl w:val="0"/>
          <w:numId w:val="0"/>
        </w:numPr>
        <w:rPr>
          <w:rFonts w:hint="eastAsia" w:ascii="仿宋" w:hAnsi="仿宋" w:eastAsia="仿宋" w:cs="仿宋"/>
          <w:kern w:val="0"/>
          <w:sz w:val="28"/>
          <w:szCs w:val="28"/>
          <w:lang w:val="en-US" w:eastAsia="zh-CN" w:bidi="ar-SA"/>
        </w:rPr>
      </w:pP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若标准的技术内容涉及专利，则应列出相关专利的目录及其使用理由。</w:t>
      </w:r>
    </w:p>
    <w:p>
      <w:pPr>
        <w:numPr>
          <w:ilvl w:val="0"/>
          <w:numId w:val="0"/>
        </w:numPr>
        <w:ind w:leftChars="0"/>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仿宋" w:hAnsi="仿宋" w:eastAsia="仿宋" w:cs="仿宋"/>
          <w:kern w:val="0"/>
          <w:sz w:val="28"/>
          <w:szCs w:val="28"/>
          <w:lang w:val="en-US" w:eastAsia="zh-CN" w:bidi="ar-SA"/>
        </w:rPr>
        <w:t xml:space="preserve"> 本标准技术内容不涉及专利。 </w:t>
      </w:r>
    </w:p>
    <w:p>
      <w:pPr>
        <w:numPr>
          <w:ilvl w:val="0"/>
          <w:numId w:val="1"/>
        </w:numPr>
        <w:ind w:left="0" w:leftChars="0" w:firstLine="0" w:firstLineChars="0"/>
        <w:rPr>
          <w:rFonts w:ascii="宋体" w:hAnsi="宋体" w:eastAsia="宋体" w:cs="宋体"/>
          <w:sz w:val="28"/>
          <w:szCs w:val="28"/>
        </w:rPr>
      </w:pPr>
      <w:r>
        <w:rPr>
          <w:rFonts w:hint="eastAsia" w:ascii="黑体" w:hAnsi="黑体" w:eastAsia="黑体" w:cs="黑体"/>
          <w:sz w:val="28"/>
          <w:szCs w:val="28"/>
        </w:rPr>
        <w:t>主要试验或验证的分析、综述报告、技术经济论证，预期的经济效果。</w:t>
      </w:r>
      <w:r>
        <w:rPr>
          <w:rFonts w:ascii="宋体" w:hAnsi="宋体" w:eastAsia="宋体" w:cs="宋体"/>
          <w:sz w:val="28"/>
          <w:szCs w:val="28"/>
        </w:rPr>
        <w:t xml:space="preserve"> </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本标准通过万达广场、宜家、沃尔玛、国美、孩子王、利群、华联、等各业态零售企业的实际验证， 确定可用于绿色商场的评价工作。由此进行的绿色商场评价活动，既可以系统评价零售企业经营过程的能源、资源使用情况，进而有针对性 的进行节能、节水、节原材料、减少污染物排放等工作，有利于推动我国流通企业绿色发展；又可以系统评价零售企业实施绿色服务、引导绿色消费和绿色供应链建设所开展的各项工作，引导生产企业和消费者共同参与绿色家园建设中来。</w:t>
      </w:r>
    </w:p>
    <w:p>
      <w:pPr>
        <w:numPr>
          <w:ilvl w:val="0"/>
          <w:numId w:val="1"/>
        </w:numPr>
        <w:ind w:left="0" w:leftChars="0" w:firstLine="0" w:firstLineChars="0"/>
        <w:rPr>
          <w:rFonts w:hint="eastAsia" w:ascii="仿宋" w:hAnsi="仿宋" w:eastAsia="仿宋" w:cs="仿宋"/>
          <w:kern w:val="0"/>
          <w:sz w:val="28"/>
          <w:szCs w:val="28"/>
          <w:lang w:val="en-US" w:eastAsia="zh-CN" w:bidi="ar-SA"/>
        </w:rPr>
      </w:pPr>
      <w:r>
        <w:rPr>
          <w:rFonts w:hint="eastAsia" w:ascii="黑体" w:hAnsi="黑体" w:eastAsia="黑体" w:cs="黑体"/>
          <w:sz w:val="28"/>
          <w:szCs w:val="28"/>
        </w:rPr>
        <w:t>采用国际标准或国外先进标准的目的、意义和一致性程度；</w:t>
      </w:r>
      <w:r>
        <w:rPr>
          <w:rFonts w:hint="eastAsia" w:ascii="黑体" w:hAnsi="黑体" w:eastAsia="黑体" w:cs="黑体"/>
          <w:sz w:val="28"/>
          <w:szCs w:val="28"/>
          <w:lang w:val="en-US" w:eastAsia="zh-CN"/>
        </w:rPr>
        <w:t xml:space="preserve">我国标准与被采用标准的主要差异及其原因；以及与国际、国外 同类标准水平的对比情况。 </w:t>
      </w:r>
    </w:p>
    <w:p>
      <w:pPr>
        <w:numPr>
          <w:ilvl w:val="0"/>
          <w:numId w:val="0"/>
        </w:numPr>
        <w:ind w:left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不适用。 </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与我国有关的现行法律、法规和相关强制性标准的关系。</w:t>
      </w:r>
    </w:p>
    <w:p>
      <w:pPr>
        <w:numPr>
          <w:ilvl w:val="0"/>
          <w:numId w:val="0"/>
        </w:numPr>
        <w:ind w:leftChars="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我国尚未有与绿色商场有关的现行法律、法规和相关强制性标 准。 </w:t>
      </w:r>
    </w:p>
    <w:p>
      <w:pPr>
        <w:numPr>
          <w:ilvl w:val="0"/>
          <w:numId w:val="1"/>
        </w:numPr>
        <w:ind w:left="0" w:leftChars="0" w:firstLine="0" w:firstLineChars="0"/>
        <w:rPr>
          <w:rFonts w:ascii="宋体" w:hAnsi="宋体" w:eastAsia="宋体" w:cs="宋体"/>
          <w:sz w:val="28"/>
          <w:szCs w:val="28"/>
        </w:rPr>
      </w:pPr>
      <w:r>
        <w:rPr>
          <w:rFonts w:hint="eastAsia" w:ascii="黑体" w:hAnsi="黑体" w:eastAsia="黑体" w:cs="黑体"/>
          <w:sz w:val="28"/>
          <w:szCs w:val="28"/>
        </w:rPr>
        <w:t>国外相关法律、法规和标准情况的说明。</w:t>
      </w:r>
      <w:r>
        <w:rPr>
          <w:rFonts w:ascii="宋体" w:hAnsi="宋体" w:eastAsia="宋体" w:cs="宋体"/>
          <w:sz w:val="28"/>
          <w:szCs w:val="28"/>
        </w:rPr>
        <w:t>（只适用于强制性标 准）</w:t>
      </w:r>
      <w:r>
        <w:rPr>
          <w:rFonts w:hint="eastAsia" w:ascii="仿宋" w:hAnsi="仿宋" w:eastAsia="仿宋" w:cs="仿宋"/>
          <w:kern w:val="0"/>
          <w:sz w:val="28"/>
          <w:szCs w:val="28"/>
          <w:lang w:val="en-US" w:eastAsia="zh-CN" w:bidi="ar-SA"/>
        </w:rPr>
        <w:t xml:space="preserve"> </w:t>
      </w:r>
    </w:p>
    <w:p>
      <w:pPr>
        <w:numPr>
          <w:ilvl w:val="0"/>
          <w:numId w:val="0"/>
        </w:numPr>
        <w:ind w:leftChars="0"/>
        <w:rPr>
          <w:rFonts w:ascii="宋体" w:hAnsi="宋体" w:eastAsia="宋体" w:cs="宋体"/>
          <w:sz w:val="28"/>
          <w:szCs w:val="28"/>
        </w:rPr>
      </w:pPr>
      <w:r>
        <w:rPr>
          <w:rFonts w:hint="eastAsia" w:ascii="仿宋" w:hAnsi="仿宋" w:eastAsia="仿宋" w:cs="仿宋"/>
          <w:kern w:val="0"/>
          <w:sz w:val="28"/>
          <w:szCs w:val="28"/>
          <w:lang w:val="en-US" w:eastAsia="zh-CN" w:bidi="ar-SA"/>
        </w:rPr>
        <w:t xml:space="preserve">    不适用。</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 xml:space="preserve">重大分歧意见的处理经过和依据。 </w:t>
      </w:r>
    </w:p>
    <w:p>
      <w:pPr>
        <w:numPr>
          <w:ilvl w:val="0"/>
          <w:numId w:val="0"/>
        </w:numPr>
        <w:ind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无。 </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标准作为强制性标准或推荐性标准、指导性技术文件的建议及 其理由；密级确定的建议及其理由。</w:t>
      </w:r>
    </w:p>
    <w:p>
      <w:pPr>
        <w:numPr>
          <w:ilvl w:val="0"/>
          <w:numId w:val="0"/>
        </w:numPr>
        <w:ind w:leftChars="0" w:firstLine="560" w:firstLineChars="2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本标准建议作为推荐性行业标准发布。</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 xml:space="preserve">贯彻标准的要求和措施建议（包括组织措施、技、技术措施、过渡 办法等内容）。 </w:t>
      </w:r>
    </w:p>
    <w:p>
      <w:pPr>
        <w:numPr>
          <w:ilvl w:val="0"/>
          <w:numId w:val="0"/>
        </w:numPr>
        <w:ind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本标准的技术内容是推荐性的。 </w:t>
      </w:r>
    </w:p>
    <w:p>
      <w:pPr>
        <w:numPr>
          <w:ilvl w:val="0"/>
          <w:numId w:val="0"/>
        </w:numPr>
        <w:ind w:leftChars="0" w:firstLine="840" w:firstLineChars="30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建议本标准在发布后即开始实施。 </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设立标准实施过渡期的理由：根据国家经济、技术政策需 要和该强制性标准涉及的产品的技术改造难度等因素，提出标 准的实施日期的建议。（仅适用于强制性标准）</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不适用。 </w:t>
      </w:r>
    </w:p>
    <w:p>
      <w:pPr>
        <w:numPr>
          <w:ilvl w:val="0"/>
          <w:numId w:val="1"/>
        </w:numPr>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 xml:space="preserve">代替或废止现行有关标准的建议。 </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代替《绿色商场》（SB/11135-2015）行业标准，自本标准实施之日起，《绿色商场》行业标准自动废止。</w:t>
      </w:r>
    </w:p>
    <w:p>
      <w:pPr>
        <w:numPr>
          <w:ilvl w:val="0"/>
          <w:numId w:val="1"/>
        </w:numPr>
        <w:ind w:left="0" w:leftChars="0" w:firstLine="0" w:firstLineChars="0"/>
        <w:rPr>
          <w:rFonts w:hint="eastAsia" w:ascii="仿宋" w:hAnsi="仿宋" w:eastAsia="仿宋" w:cs="仿宋"/>
          <w:kern w:val="0"/>
          <w:sz w:val="28"/>
          <w:szCs w:val="28"/>
          <w:lang w:val="en-US" w:eastAsia="zh-CN" w:bidi="ar-SA"/>
        </w:rPr>
      </w:pPr>
      <w:r>
        <w:rPr>
          <w:rFonts w:hint="eastAsia" w:ascii="黑体" w:hAnsi="黑体" w:eastAsia="黑体" w:cs="黑体"/>
          <w:sz w:val="28"/>
          <w:szCs w:val="28"/>
        </w:rPr>
        <w:t>其他主要内容的解释和其他需要说明的事项。</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如系列标准或划分部分制定的标准的编号建议，参考文献目录等。 ）</w:t>
      </w:r>
    </w:p>
    <w:p>
      <w:pPr>
        <w:numPr>
          <w:ilvl w:val="0"/>
          <w:numId w:val="0"/>
        </w:numPr>
        <w:ind w:leftChars="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无。 </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w:t>
      </w:r>
    </w:p>
    <w:p>
      <w:pPr>
        <w:numPr>
          <w:ilvl w:val="0"/>
          <w:numId w:val="0"/>
        </w:numP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 xml:space="preserve">                                   标准起草组 2018 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8847"/>
    <w:multiLevelType w:val="singleLevel"/>
    <w:tmpl w:val="95808847"/>
    <w:lvl w:ilvl="0" w:tentative="0">
      <w:start w:val="1"/>
      <w:numFmt w:val="decimal"/>
      <w:suff w:val="space"/>
      <w:lvlText w:val="%1、"/>
      <w:lvlJc w:val="left"/>
    </w:lvl>
  </w:abstractNum>
  <w:abstractNum w:abstractNumId="1">
    <w:nsid w:val="A3F25E33"/>
    <w:multiLevelType w:val="singleLevel"/>
    <w:tmpl w:val="A3F25E33"/>
    <w:lvl w:ilvl="0" w:tentative="0">
      <w:start w:val="1"/>
      <w:numFmt w:val="decimal"/>
      <w:suff w:val="space"/>
      <w:lvlText w:val="（%1）"/>
      <w:lvlJc w:val="left"/>
    </w:lvl>
  </w:abstractNum>
  <w:abstractNum w:abstractNumId="2">
    <w:nsid w:val="F297B4AB"/>
    <w:multiLevelType w:val="singleLevel"/>
    <w:tmpl w:val="F297B4AB"/>
    <w:lvl w:ilvl="0" w:tentative="0">
      <w:start w:val="1"/>
      <w:numFmt w:val="decimal"/>
      <w:suff w:val="space"/>
      <w:lvlText w:val="%1、"/>
      <w:lvlJc w:val="left"/>
      <w:pPr>
        <w:ind w:left="120" w:leftChars="0" w:firstLine="0" w:firstLineChars="0"/>
      </w:pPr>
    </w:lvl>
  </w:abstractNum>
  <w:abstractNum w:abstractNumId="3">
    <w:nsid w:val="23053DCE"/>
    <w:multiLevelType w:val="singleLevel"/>
    <w:tmpl w:val="23053DCE"/>
    <w:lvl w:ilvl="0" w:tentative="0">
      <w:start w:val="1"/>
      <w:numFmt w:val="decimal"/>
      <w:suff w:val="space"/>
      <w:lvlText w:val="（%1）"/>
      <w:lvlJc w:val="left"/>
    </w:lvl>
  </w:abstractNum>
  <w:abstractNum w:abstractNumId="4">
    <w:nsid w:val="75D07A58"/>
    <w:multiLevelType w:val="singleLevel"/>
    <w:tmpl w:val="75D07A58"/>
    <w:lvl w:ilvl="0" w:tentative="0">
      <w:start w:val="1"/>
      <w:numFmt w:val="chineseCounting"/>
      <w:suff w:val="space"/>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64CD7"/>
    <w:rsid w:val="00190783"/>
    <w:rsid w:val="00196337"/>
    <w:rsid w:val="01315458"/>
    <w:rsid w:val="0AD06433"/>
    <w:rsid w:val="1EAB2D9C"/>
    <w:rsid w:val="20364CD7"/>
    <w:rsid w:val="210E29E9"/>
    <w:rsid w:val="251E5DD5"/>
    <w:rsid w:val="298A5194"/>
    <w:rsid w:val="2E8C6986"/>
    <w:rsid w:val="428068CC"/>
    <w:rsid w:val="4FC52EA9"/>
    <w:rsid w:val="6151196E"/>
    <w:rsid w:val="673D759F"/>
    <w:rsid w:val="6D535020"/>
    <w:rsid w:val="717A6D58"/>
    <w:rsid w:val="7A156614"/>
    <w:rsid w:val="7C5128DA"/>
    <w:rsid w:val="7EE3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w\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2018-07-30T02:39:00Z</dcterms:created>
  <dc:creator>韩秀伟</dc:creator>
  <cp:lastModifiedBy>韩秀伟</cp:lastModifiedBy>
  <cp:lastPrinted>2018-10-08T03:08:00Z</cp:lastPrinted>
  <dcterms:modified xsi:type="dcterms:W3CDTF">2018-10-23T00:49:34Z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